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05" w:rsidRPr="00527C89" w:rsidRDefault="00C0724E">
      <w:pPr>
        <w:rPr>
          <w:rFonts w:cs="Arial"/>
          <w:b/>
          <w:sz w:val="28"/>
          <w:szCs w:val="28"/>
        </w:rPr>
      </w:pPr>
      <w:r w:rsidRPr="00527C89">
        <w:rPr>
          <w:rFonts w:eastAsia="Calibri" w:cs="Arial"/>
          <w:b/>
          <w:sz w:val="28"/>
          <w:szCs w:val="28"/>
        </w:rPr>
        <w:t xml:space="preserve">Gåtfulla blommor </w:t>
      </w:r>
      <w:r w:rsidRPr="00527C89">
        <w:rPr>
          <w:rFonts w:cs="Arial"/>
          <w:b/>
          <w:sz w:val="28"/>
          <w:szCs w:val="28"/>
        </w:rPr>
        <w:t>i v</w:t>
      </w:r>
      <w:r w:rsidR="00072261" w:rsidRPr="00527C89">
        <w:rPr>
          <w:rFonts w:cs="Arial"/>
          <w:b/>
          <w:sz w:val="28"/>
          <w:szCs w:val="28"/>
        </w:rPr>
        <w:t>årens fotoutställning på Borgholms Slott</w:t>
      </w:r>
    </w:p>
    <w:p w:rsidR="000E5353" w:rsidRPr="000E5353" w:rsidRDefault="00C0724E" w:rsidP="00C0724E">
      <w:pPr>
        <w:spacing w:after="150" w:line="247" w:lineRule="auto"/>
        <w:rPr>
          <w:rFonts w:cs="Arial"/>
          <w:b/>
        </w:rPr>
      </w:pPr>
      <w:r w:rsidRPr="0021701A">
        <w:rPr>
          <w:rFonts w:cs="Arial"/>
          <w:b/>
        </w:rPr>
        <w:t xml:space="preserve">Bertil Hertzbergs fotografier av blommor i skymningsljus har gjort succé på Virserums konsthall och på </w:t>
      </w:r>
      <w:proofErr w:type="spellStart"/>
      <w:r w:rsidRPr="0021701A">
        <w:rPr>
          <w:rFonts w:cs="Arial"/>
          <w:b/>
        </w:rPr>
        <w:t>Vandalorum</w:t>
      </w:r>
      <w:proofErr w:type="spellEnd"/>
      <w:r w:rsidRPr="0021701A">
        <w:rPr>
          <w:rFonts w:cs="Arial"/>
          <w:b/>
        </w:rPr>
        <w:t xml:space="preserve"> i Värnamo. Nu kommer utställningen Skymningens väsen</w:t>
      </w:r>
      <w:r w:rsidR="00AC3E2B" w:rsidRPr="0021701A">
        <w:rPr>
          <w:rFonts w:cs="Arial"/>
          <w:b/>
        </w:rPr>
        <w:t>,</w:t>
      </w:r>
      <w:r w:rsidRPr="0021701A">
        <w:rPr>
          <w:rFonts w:cs="Arial"/>
          <w:b/>
        </w:rPr>
        <w:t xml:space="preserve"> med delvis nya bilder</w:t>
      </w:r>
      <w:r w:rsidR="00AC3E2B" w:rsidRPr="0021701A">
        <w:rPr>
          <w:rFonts w:cs="Arial"/>
          <w:b/>
        </w:rPr>
        <w:t>,</w:t>
      </w:r>
      <w:r w:rsidR="0021701A" w:rsidRPr="0021701A">
        <w:rPr>
          <w:rFonts w:cs="Arial"/>
          <w:b/>
        </w:rPr>
        <w:t xml:space="preserve"> </w:t>
      </w:r>
      <w:r w:rsidRPr="0021701A">
        <w:rPr>
          <w:rFonts w:cs="Arial"/>
          <w:b/>
        </w:rPr>
        <w:t>till Borgholms Slott.</w:t>
      </w:r>
    </w:p>
    <w:p w:rsidR="00527C89" w:rsidRDefault="00AC3E2B" w:rsidP="00C0724E">
      <w:pPr>
        <w:ind w:left="-5" w:right="48"/>
      </w:pPr>
      <w:r>
        <w:t>Den 1 april är det dags för säsongsöppning på Borgholms Slott. I samband med öppningen invigs även vårens fotoutställning Skymningens väsen</w:t>
      </w:r>
      <w:r w:rsidR="00915F6F">
        <w:t xml:space="preserve"> av fotograf Bertil Hertzberg</w:t>
      </w:r>
      <w:r>
        <w:t xml:space="preserve">. </w:t>
      </w:r>
    </w:p>
    <w:p w:rsidR="00C0724E" w:rsidRDefault="00C0724E" w:rsidP="00C0724E">
      <w:pPr>
        <w:ind w:left="-5" w:right="48"/>
      </w:pPr>
      <w:r>
        <w:t xml:space="preserve">Under pandemiåren 2020 och 2021 var </w:t>
      </w:r>
      <w:r w:rsidR="00915F6F">
        <w:t>Bertil Hertzberg</w:t>
      </w:r>
      <w:r>
        <w:t xml:space="preserve"> i långa perioder isolerad i sitt hem och </w:t>
      </w:r>
      <w:r w:rsidR="00AC3E2B">
        <w:t xml:space="preserve">i </w:t>
      </w:r>
      <w:r>
        <w:t>sin trädgård. Han riktade då kameran mot det närmaste, växterna som helt oberörda av världsdramatiken blommade i rabatterna runt huset.</w:t>
      </w:r>
    </w:p>
    <w:p w:rsidR="00C0724E" w:rsidRDefault="00C0724E" w:rsidP="00C0724E">
      <w:pPr>
        <w:ind w:left="-5" w:right="48"/>
      </w:pPr>
      <w:r>
        <w:t xml:space="preserve">Bertil Hertzberg valde att fotografera när ljuset drog sig tillbaka och skymningen sakta föll över trädgården. </w:t>
      </w:r>
      <w:r w:rsidRPr="000E5353">
        <w:rPr>
          <w:color w:val="C00000"/>
        </w:rPr>
        <w:t>Med makroobjektiv och ringblixt fångade han stunderna då blombladen, som under dagen lockat humlor och bin med sin öppenhet mot ljuset, sluter sig och förbereder sig för natten.</w:t>
      </w:r>
      <w:bookmarkStart w:id="0" w:name="_GoBack"/>
      <w:bookmarkEnd w:id="0"/>
    </w:p>
    <w:p w:rsidR="00C0724E" w:rsidRDefault="00C0724E" w:rsidP="00527C89">
      <w:pPr>
        <w:pStyle w:val="Liststycke"/>
        <w:numPr>
          <w:ilvl w:val="0"/>
          <w:numId w:val="2"/>
        </w:numPr>
        <w:ind w:right="48"/>
      </w:pPr>
      <w:r>
        <w:t xml:space="preserve">Denna förvandling från ljus, liv, strid och rörelse till inåtvänd vila fascinerade mig. Blommorna blev mer själfulla och spännande än när de tävlade i skönhet och prakt under dagen, förklarar </w:t>
      </w:r>
      <w:r w:rsidR="00AC3E2B">
        <w:t>Bertil</w:t>
      </w:r>
      <w:r w:rsidR="00915F6F">
        <w:t xml:space="preserve"> Hertzberg</w:t>
      </w:r>
      <w:r>
        <w:t>.</w:t>
      </w:r>
    </w:p>
    <w:p w:rsidR="00915F6F" w:rsidRDefault="00C0724E" w:rsidP="00527C89">
      <w:pPr>
        <w:spacing w:after="278" w:line="252" w:lineRule="auto"/>
        <w:ind w:left="-5"/>
        <w:rPr>
          <w:color w:val="2E2A25"/>
        </w:rPr>
      </w:pPr>
      <w:r w:rsidRPr="000E5353">
        <w:rPr>
          <w:color w:val="FF0000"/>
        </w:rPr>
        <w:t xml:space="preserve">De porträtterade blommorna svävar mot en mörk, diffus och ofta blåtonad bakgrund. </w:t>
      </w:r>
      <w:r>
        <w:rPr>
          <w:color w:val="2E2A25"/>
        </w:rPr>
        <w:t>Välkända blommor</w:t>
      </w:r>
      <w:r w:rsidR="00527C89">
        <w:rPr>
          <w:color w:val="2E2A25"/>
        </w:rPr>
        <w:t xml:space="preserve"> </w:t>
      </w:r>
      <w:r w:rsidR="00915F6F">
        <w:rPr>
          <w:color w:val="2E2A25"/>
        </w:rPr>
        <w:t xml:space="preserve">visar sig ha former, färger och </w:t>
      </w:r>
      <w:r>
        <w:rPr>
          <w:color w:val="2E2A25"/>
        </w:rPr>
        <w:t xml:space="preserve">nervtrådar i bladen som betraktaren annars inte upptäcker. </w:t>
      </w:r>
      <w:r w:rsidRPr="000E5353">
        <w:rPr>
          <w:color w:val="FF0000"/>
        </w:rPr>
        <w:t>Blommornas väsen framträder på ett stillsamt storslaget sätt.</w:t>
      </w:r>
      <w:r w:rsidR="00AC3E2B" w:rsidRPr="000E5353">
        <w:rPr>
          <w:color w:val="FF0000"/>
        </w:rPr>
        <w:t xml:space="preserve"> </w:t>
      </w:r>
    </w:p>
    <w:p w:rsidR="00C0724E" w:rsidRPr="00527C89" w:rsidRDefault="00AC3E2B" w:rsidP="00527C89">
      <w:pPr>
        <w:spacing w:after="278" w:line="252" w:lineRule="auto"/>
        <w:ind w:left="-5"/>
      </w:pPr>
      <w:r>
        <w:rPr>
          <w:color w:val="2E2A25"/>
        </w:rPr>
        <w:t xml:space="preserve">Till utställningen har 25 bilder valts ut, varav </w:t>
      </w:r>
      <w:r w:rsidR="0021701A">
        <w:rPr>
          <w:color w:val="2E2A25"/>
        </w:rPr>
        <w:t>några som aldrig har visats förut</w:t>
      </w:r>
      <w:r>
        <w:rPr>
          <w:color w:val="2E2A25"/>
        </w:rPr>
        <w:t>.</w:t>
      </w:r>
    </w:p>
    <w:p w:rsidR="00AC3E2B" w:rsidRDefault="00AC3E2B" w:rsidP="00AC3E2B">
      <w:pPr>
        <w:pStyle w:val="Liststycke"/>
        <w:numPr>
          <w:ilvl w:val="0"/>
          <w:numId w:val="1"/>
        </w:numPr>
        <w:spacing w:after="278" w:line="252" w:lineRule="auto"/>
      </w:pPr>
      <w:r>
        <w:t xml:space="preserve">Nu när det äntligen är dags </w:t>
      </w:r>
      <w:r w:rsidR="00C15CFD">
        <w:t>för säsongsöppning är vi glada att</w:t>
      </w:r>
      <w:r>
        <w:t xml:space="preserve"> </w:t>
      </w:r>
      <w:r w:rsidR="00C15CFD">
        <w:t xml:space="preserve">även kunna bjuda in till Bertil Hertzbergs </w:t>
      </w:r>
      <w:r>
        <w:t xml:space="preserve">fotoutställning. Hans finstämda fotografier på slottets </w:t>
      </w:r>
      <w:r w:rsidR="00527C89">
        <w:t xml:space="preserve">robusta </w:t>
      </w:r>
      <w:r>
        <w:t>stenväggar</w:t>
      </w:r>
      <w:r w:rsidR="0021701A">
        <w:t xml:space="preserve"> skapar en </w:t>
      </w:r>
      <w:r w:rsidR="00752D64">
        <w:t>spännande</w:t>
      </w:r>
      <w:r w:rsidR="0021701A">
        <w:t xml:space="preserve"> kontrast</w:t>
      </w:r>
      <w:r>
        <w:t>, säger slottschef Tommy Josefsson.</w:t>
      </w:r>
    </w:p>
    <w:p w:rsidR="00C0724E" w:rsidRDefault="00527C89" w:rsidP="00C0724E">
      <w:pPr>
        <w:spacing w:after="707"/>
        <w:ind w:left="-5" w:right="48"/>
      </w:pPr>
      <w:r>
        <w:t>Utställningen Skymningens väsen</w:t>
      </w:r>
      <w:r w:rsidR="00C0724E">
        <w:t xml:space="preserve"> </w:t>
      </w:r>
      <w:r>
        <w:t xml:space="preserve">pågår från </w:t>
      </w:r>
      <w:r w:rsidR="00071261">
        <w:t xml:space="preserve">den </w:t>
      </w:r>
      <w:r>
        <w:t>1 april till den 8 juni</w:t>
      </w:r>
      <w:r w:rsidR="00C0724E">
        <w:t>.</w:t>
      </w:r>
      <w:r>
        <w:t xml:space="preserve"> Borgholms Slott har öppet dagligen.</w:t>
      </w:r>
    </w:p>
    <w:p w:rsidR="00072261" w:rsidRDefault="00072261"/>
    <w:sectPr w:rsidR="0007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E6C"/>
    <w:multiLevelType w:val="hybridMultilevel"/>
    <w:tmpl w:val="0A083CF8"/>
    <w:lvl w:ilvl="0" w:tplc="8A3A710A">
      <w:numFmt w:val="bullet"/>
      <w:lvlText w:val="-"/>
      <w:lvlJc w:val="left"/>
      <w:pPr>
        <w:ind w:left="355" w:hanging="360"/>
      </w:pPr>
      <w:rPr>
        <w:rFonts w:ascii="Arial" w:eastAsiaTheme="minorHAnsi" w:hAnsi="Arial" w:cs="Arial" w:hint="default"/>
        <w:color w:val="2E2A25"/>
      </w:rPr>
    </w:lvl>
    <w:lvl w:ilvl="1" w:tplc="041D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>
    <w:nsid w:val="74BB04B6"/>
    <w:multiLevelType w:val="hybridMultilevel"/>
    <w:tmpl w:val="E946E93E"/>
    <w:lvl w:ilvl="0" w:tplc="F13297E0">
      <w:numFmt w:val="bullet"/>
      <w:lvlText w:val="-"/>
      <w:lvlJc w:val="left"/>
      <w:pPr>
        <w:ind w:left="35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61"/>
    <w:rsid w:val="000671DF"/>
    <w:rsid w:val="00071261"/>
    <w:rsid w:val="00072261"/>
    <w:rsid w:val="000E5353"/>
    <w:rsid w:val="001C2444"/>
    <w:rsid w:val="0021701A"/>
    <w:rsid w:val="002D2EE3"/>
    <w:rsid w:val="00527C89"/>
    <w:rsid w:val="00752D64"/>
    <w:rsid w:val="00915F6F"/>
    <w:rsid w:val="00AC3E2B"/>
    <w:rsid w:val="00AF5E05"/>
    <w:rsid w:val="00C0724E"/>
    <w:rsid w:val="00C1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DF"/>
    <w:pPr>
      <w:spacing w:after="120" w:line="240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0671D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71DF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71DF"/>
    <w:pPr>
      <w:keepNext/>
      <w:keepLines/>
      <w:spacing w:before="180" w:after="6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71D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71DF"/>
    <w:rPr>
      <w:rFonts w:ascii="Arial" w:eastAsiaTheme="majorEastAsia" w:hAnsi="Arial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0671D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671DF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71DF"/>
    <w:rPr>
      <w:rFonts w:ascii="Arial" w:eastAsiaTheme="majorEastAsia" w:hAnsi="Arial" w:cstheme="majorBidi"/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C0724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C3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DF"/>
    <w:pPr>
      <w:spacing w:after="120" w:line="240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0671D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71DF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71DF"/>
    <w:pPr>
      <w:keepNext/>
      <w:keepLines/>
      <w:spacing w:before="180" w:after="6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71D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71DF"/>
    <w:rPr>
      <w:rFonts w:ascii="Arial" w:eastAsiaTheme="majorEastAsia" w:hAnsi="Arial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0671D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671DF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71DF"/>
    <w:rPr>
      <w:rFonts w:ascii="Arial" w:eastAsiaTheme="majorEastAsia" w:hAnsi="Arial" w:cstheme="majorBidi"/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C0724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C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Sundman</dc:creator>
  <cp:lastModifiedBy>Anna Törnqvist</cp:lastModifiedBy>
  <cp:revision>2</cp:revision>
  <dcterms:created xsi:type="dcterms:W3CDTF">2022-03-22T08:31:00Z</dcterms:created>
  <dcterms:modified xsi:type="dcterms:W3CDTF">2022-03-22T08:31:00Z</dcterms:modified>
</cp:coreProperties>
</file>